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4" w:rsidRDefault="00576E2E">
      <w:pPr>
        <w:rPr>
          <w:rFonts w:ascii="Times New Roman" w:eastAsia="黑体" w:hAnsi="Times New Roman" w:cs="Times New Roman"/>
          <w:bCs/>
          <w:spacing w:val="-26"/>
          <w:sz w:val="30"/>
          <w:szCs w:val="30"/>
        </w:rPr>
      </w:pPr>
      <w:r>
        <w:rPr>
          <w:rFonts w:ascii="Times New Roman" w:eastAsia="黑体" w:hAnsi="Times New Roman" w:cs="Times New Roman"/>
          <w:bCs/>
          <w:spacing w:val="-26"/>
          <w:sz w:val="30"/>
          <w:szCs w:val="30"/>
        </w:rPr>
        <w:t>附件</w:t>
      </w:r>
      <w:r w:rsidR="00593B05">
        <w:rPr>
          <w:rFonts w:ascii="Times New Roman" w:eastAsia="黑体" w:hAnsi="Times New Roman" w:cs="Times New Roman" w:hint="eastAsia"/>
          <w:bCs/>
          <w:spacing w:val="-26"/>
          <w:sz w:val="30"/>
          <w:szCs w:val="30"/>
        </w:rPr>
        <w:t>3</w:t>
      </w:r>
    </w:p>
    <w:p w:rsidR="00AF51B4" w:rsidRDefault="00576E2E">
      <w:pPr>
        <w:jc w:val="center"/>
        <w:rPr>
          <w:rFonts w:ascii="Times New Roman" w:eastAsia="方正小标宋简体" w:hAnsi="Times New Roman" w:cs="Times New Roman"/>
          <w:bCs/>
          <w:spacing w:val="-26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-26"/>
          <w:sz w:val="36"/>
          <w:szCs w:val="36"/>
        </w:rPr>
        <w:t>行业协会商会脱钩单位完成情况表</w:t>
      </w:r>
    </w:p>
    <w:p w:rsidR="00AF51B4" w:rsidRDefault="00576E2E">
      <w:pPr>
        <w:jc w:val="center"/>
        <w:rPr>
          <w:rFonts w:ascii="Times New Roman" w:eastAsia="楷体_GB2312" w:hAnsi="Times New Roman" w:cs="Times New Roman"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Cs/>
          <w:sz w:val="28"/>
          <w:szCs w:val="28"/>
        </w:rPr>
        <w:t>(</w:t>
      </w:r>
      <w:r>
        <w:rPr>
          <w:rFonts w:ascii="Times New Roman" w:eastAsia="楷体_GB2312" w:hAnsi="Times New Roman" w:cs="Times New Roman"/>
          <w:bCs/>
          <w:sz w:val="28"/>
          <w:szCs w:val="28"/>
        </w:rPr>
        <w:t>参加试点行业协会商会填写、业务主管单位审核）</w:t>
      </w:r>
    </w:p>
    <w:p w:rsidR="00AF51B4" w:rsidRDefault="00AF51B4">
      <w:pPr>
        <w:jc w:val="center"/>
        <w:rPr>
          <w:rFonts w:ascii="Times New Roman" w:eastAsia="楷体" w:hAnsi="Times New Roman" w:cs="Times New Roman"/>
          <w:bCs/>
          <w:sz w:val="28"/>
          <w:szCs w:val="28"/>
        </w:rPr>
      </w:pPr>
    </w:p>
    <w:p w:rsidR="00AF51B4" w:rsidRPr="007B24FC" w:rsidRDefault="00576E2E" w:rsidP="007B24FC">
      <w:pPr>
        <w:ind w:leftChars="-294" w:left="-617" w:firstLineChars="221" w:firstLine="61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    </w:t>
      </w:r>
      <w:r>
        <w:rPr>
          <w:rFonts w:ascii="Times New Roman" w:hAnsi="宋体" w:cs="Times New Roman"/>
          <w:bCs/>
          <w:sz w:val="28"/>
          <w:szCs w:val="28"/>
        </w:rPr>
        <w:t>填表人：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</w:t>
      </w:r>
      <w:r w:rsid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手机：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 </w:t>
      </w:r>
    </w:p>
    <w:p w:rsidR="00AF51B4" w:rsidRPr="007B24FC" w:rsidRDefault="00576E2E" w:rsidP="007B24F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业务主管单位（盖章）：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联系人：</w:t>
      </w:r>
      <w:r w:rsidR="007B24FC">
        <w:rPr>
          <w:rFonts w:ascii="Times New Roman" w:hAnsi="Times New Roman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手机：</w:t>
      </w:r>
      <w:r w:rsidR="007B24FC" w:rsidRPr="007B24F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 w:rsidR="007B24FC">
        <w:rPr>
          <w:rFonts w:ascii="Times New Roman" w:hAnsi="宋体" w:cs="Times New Roman" w:hint="eastAsia"/>
          <w:bCs/>
          <w:sz w:val="28"/>
          <w:szCs w:val="28"/>
        </w:rPr>
        <w:t xml:space="preserve"> </w:t>
      </w:r>
    </w:p>
    <w:p w:rsidR="00AF51B4" w:rsidRDefault="00576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（一）基本信息情况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2880"/>
        <w:gridCol w:w="1590"/>
        <w:gridCol w:w="3973"/>
      </w:tblGrid>
      <w:tr w:rsidR="00AF51B4">
        <w:trPr>
          <w:trHeight w:val="56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法定代表人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51B4">
        <w:trPr>
          <w:trHeight w:val="47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理事长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秘书长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F51B4">
        <w:trPr>
          <w:trHeight w:val="52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住所地址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F51B4" w:rsidRDefault="00576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（二）机构分离情况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08"/>
      </w:tblGrid>
      <w:tr w:rsidR="00AF51B4">
        <w:trPr>
          <w:trHeight w:val="244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代管事业单位的脱钩情况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140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并入行业协会商会，核销事业编制（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）个</w:t>
            </w:r>
          </w:p>
        </w:tc>
      </w:tr>
      <w:tr w:rsidR="00AF51B4">
        <w:trPr>
          <w:trHeight w:val="217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划转（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）管理</w:t>
            </w:r>
          </w:p>
        </w:tc>
      </w:tr>
      <w:tr w:rsidR="00AF51B4">
        <w:trPr>
          <w:trHeight w:val="147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未完成脱钩</w:t>
            </w:r>
          </w:p>
        </w:tc>
      </w:tr>
      <w:tr w:rsidR="00AF51B4">
        <w:trPr>
          <w:trHeight w:val="472"/>
          <w:jc w:val="center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与其他行业协会商会、社会组织代管协管挂靠关系的脱钩情况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414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按自愿互惠原则进行调整，并纳入章程予以规范</w:t>
            </w:r>
          </w:p>
        </w:tc>
      </w:tr>
      <w:tr w:rsidR="00AF51B4">
        <w:trPr>
          <w:trHeight w:val="264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未完成脱钩</w:t>
            </w:r>
          </w:p>
        </w:tc>
      </w:tr>
      <w:tr w:rsidR="00AF51B4">
        <w:trPr>
          <w:trHeight w:val="291"/>
          <w:jc w:val="center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与行政机关或者事业单位合署办公的脱钩情况</w:t>
            </w:r>
          </w:p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189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机构分离情况：</w:t>
            </w:r>
          </w:p>
        </w:tc>
      </w:tr>
      <w:tr w:rsidR="00AF51B4">
        <w:trPr>
          <w:trHeight w:val="180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人员分离情况：</w:t>
            </w:r>
          </w:p>
        </w:tc>
      </w:tr>
      <w:tr w:rsidR="00AF51B4">
        <w:trPr>
          <w:trHeight w:val="257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资产分离情况：</w:t>
            </w:r>
          </w:p>
        </w:tc>
      </w:tr>
      <w:tr w:rsidR="00AF51B4">
        <w:trPr>
          <w:trHeight w:val="90"/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未完成脱钩</w:t>
            </w:r>
          </w:p>
        </w:tc>
      </w:tr>
    </w:tbl>
    <w:p w:rsidR="00AF51B4" w:rsidRDefault="00576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（三）职能分离情况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7693"/>
      </w:tblGrid>
      <w:tr w:rsidR="00AF51B4">
        <w:trPr>
          <w:trHeight w:val="367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法律法规规定情形之外行业协会商会行使行政职能的脱钩情况</w:t>
            </w:r>
          </w:p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228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已移交有关部门（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）项，分别为：</w:t>
            </w:r>
          </w:p>
        </w:tc>
      </w:tr>
      <w:tr w:rsidR="00AF51B4">
        <w:trPr>
          <w:trHeight w:val="94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1.</w:t>
            </w:r>
          </w:p>
        </w:tc>
      </w:tr>
      <w:tr w:rsidR="00AF51B4">
        <w:trPr>
          <w:trHeight w:val="220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2.</w:t>
            </w:r>
          </w:p>
        </w:tc>
      </w:tr>
      <w:tr w:rsidR="00AF51B4">
        <w:trPr>
          <w:trHeight w:val="102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……</w:t>
            </w:r>
          </w:p>
        </w:tc>
      </w:tr>
      <w:tr w:rsidR="00AF51B4">
        <w:trPr>
          <w:trHeight w:val="198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未完成移交（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）项，分别为：</w:t>
            </w:r>
          </w:p>
        </w:tc>
      </w:tr>
      <w:tr w:rsidR="00AF51B4">
        <w:trPr>
          <w:trHeight w:val="229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1.</w:t>
            </w:r>
          </w:p>
        </w:tc>
      </w:tr>
      <w:tr w:rsidR="00AF51B4">
        <w:trPr>
          <w:trHeight w:val="93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2.</w:t>
            </w:r>
          </w:p>
        </w:tc>
      </w:tr>
      <w:tr w:rsidR="00AF51B4">
        <w:trPr>
          <w:trHeight w:val="16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……</w:t>
            </w:r>
          </w:p>
        </w:tc>
      </w:tr>
      <w:tr w:rsidR="00AF51B4">
        <w:trPr>
          <w:trHeight w:val="33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脱钩后有关部门向行业协会商会转移职能和事项</w:t>
            </w:r>
          </w:p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共转移（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）项职能和事项，具体清单目录为：</w:t>
            </w:r>
          </w:p>
        </w:tc>
      </w:tr>
      <w:tr w:rsidR="00AF51B4">
        <w:trPr>
          <w:trHeight w:val="185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1.</w:t>
            </w:r>
          </w:p>
        </w:tc>
      </w:tr>
      <w:tr w:rsidR="00AF51B4">
        <w:trPr>
          <w:trHeight w:val="137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2.</w:t>
            </w:r>
          </w:p>
        </w:tc>
      </w:tr>
      <w:tr w:rsidR="00AF51B4">
        <w:trPr>
          <w:trHeight w:val="152"/>
          <w:jc w:val="center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3.</w:t>
            </w:r>
          </w:p>
        </w:tc>
      </w:tr>
      <w:tr w:rsidR="00AF51B4">
        <w:trPr>
          <w:trHeight w:val="147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……</w:t>
            </w:r>
          </w:p>
        </w:tc>
      </w:tr>
    </w:tbl>
    <w:p w:rsidR="00AF51B4" w:rsidRDefault="00576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（四）资产财务分离情况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2250"/>
        <w:gridCol w:w="2085"/>
        <w:gridCol w:w="3343"/>
      </w:tblGrid>
      <w:tr w:rsidR="00AF51B4">
        <w:trPr>
          <w:trHeight w:val="411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脱钩后执行会计制度情况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《民间非营利组织会计制度》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</w:p>
        </w:tc>
      </w:tr>
      <w:tr w:rsidR="00AF51B4">
        <w:trPr>
          <w:trHeight w:val="310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其他会计制度</w:t>
            </w:r>
          </w:p>
        </w:tc>
      </w:tr>
      <w:tr w:rsidR="00AF51B4">
        <w:trPr>
          <w:trHeight w:val="232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脱钩后单独开立银行账户情况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134"/>
          <w:jc w:val="center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单独开立账户，开户行、开户名称及账号为：（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</w:tr>
      <w:tr w:rsidR="00AF51B4">
        <w:trPr>
          <w:trHeight w:val="278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未单独开立账户，与何单位共用（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</w:tr>
      <w:tr w:rsidR="00AF51B4">
        <w:trPr>
          <w:trHeight w:val="351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脱钩后单独建账、独立核算情况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290"/>
          <w:jc w:val="center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已单独建账、独立核算</w:t>
            </w:r>
          </w:p>
        </w:tc>
      </w:tr>
      <w:tr w:rsidR="00AF51B4">
        <w:trPr>
          <w:trHeight w:val="350"/>
          <w:jc w:val="center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未单独建账、独立核算，账务挂靠在何单位（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</w:tr>
      <w:tr w:rsidR="00AF51B4">
        <w:trPr>
          <w:trHeight w:val="406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脱钩后财政预算资金处理方式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377"/>
          <w:jc w:val="center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预算资金额度（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）万元，具体处理方式（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</w:tr>
      <w:tr w:rsidR="00AF51B4">
        <w:trPr>
          <w:trHeight w:val="358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脱钩后承接政府购买服务情况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未承接政府购买服务事项</w:t>
            </w:r>
          </w:p>
        </w:tc>
      </w:tr>
      <w:tr w:rsidR="00AF51B4">
        <w:trPr>
          <w:trHeight w:val="246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承接政府购买服务事项（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）项，资金（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）万元，具体清单目录为：</w:t>
            </w:r>
          </w:p>
        </w:tc>
      </w:tr>
      <w:tr w:rsidR="00AF51B4">
        <w:trPr>
          <w:trHeight w:val="224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1.</w:t>
            </w:r>
          </w:p>
        </w:tc>
      </w:tr>
      <w:tr w:rsidR="00AF51B4">
        <w:trPr>
          <w:trHeight w:val="98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2.</w:t>
            </w:r>
          </w:p>
        </w:tc>
      </w:tr>
      <w:tr w:rsidR="00AF51B4">
        <w:trPr>
          <w:trHeight w:val="143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……</w:t>
            </w:r>
          </w:p>
        </w:tc>
      </w:tr>
      <w:tr w:rsidR="00AF51B4">
        <w:trPr>
          <w:trHeight w:val="164"/>
          <w:jc w:val="center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使用行政办公用房脱钩情况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172"/>
          <w:jc w:val="center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符合核定面积（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  <w:r>
              <w:rPr>
                <w:rFonts w:ascii="Times New Roman" w:eastAsia="仿宋_GB2312" w:hAnsi="Arial" w:cs="Times New Roman"/>
                <w:bCs/>
                <w:sz w:val="24"/>
              </w:rPr>
              <w:t>㎡，脱钩后具体处理方式（）</w:t>
            </w:r>
          </w:p>
        </w:tc>
      </w:tr>
      <w:tr w:rsidR="00AF51B4">
        <w:trPr>
          <w:trHeight w:val="369"/>
          <w:jc w:val="center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Arial" w:cs="Times New Roman"/>
                <w:bCs/>
                <w:sz w:val="24"/>
              </w:rPr>
              <w:t>清理腾退超出核定面积（）㎡，签订书面移交协议（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  <w:r>
              <w:rPr>
                <w:rFonts w:ascii="Times New Roman" w:eastAsia="仿宋_GB2312" w:hAnsi="Arial" w:cs="Times New Roman"/>
                <w:bCs/>
                <w:sz w:val="24"/>
              </w:rPr>
              <w:t>）</w:t>
            </w:r>
          </w:p>
        </w:tc>
      </w:tr>
      <w:tr w:rsidR="00AF51B4">
        <w:trPr>
          <w:trHeight w:val="164"/>
          <w:jc w:val="center"/>
        </w:trPr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脱钩后固定资产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国有（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）万元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脱钩后流动资产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国有（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）万元</w:t>
            </w:r>
          </w:p>
        </w:tc>
      </w:tr>
      <w:tr w:rsidR="00AF51B4">
        <w:trPr>
          <w:trHeight w:val="168"/>
          <w:jc w:val="center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其他（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）万元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其他（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）万元</w:t>
            </w:r>
          </w:p>
        </w:tc>
      </w:tr>
    </w:tbl>
    <w:p w:rsidR="00AF51B4" w:rsidRDefault="00576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（五）人员管理分离情况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677"/>
        <w:gridCol w:w="583"/>
        <w:gridCol w:w="2882"/>
        <w:gridCol w:w="1790"/>
        <w:gridCol w:w="1793"/>
      </w:tblGrid>
      <w:tr w:rsidR="00AF51B4">
        <w:trPr>
          <w:trHeight w:val="359"/>
          <w:jc w:val="center"/>
        </w:trPr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现职和不担任现职但未办理退（离）休手续的公务员在行业协会商会兼职任职的脱钩情况</w:t>
            </w:r>
          </w:p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938"/>
          <w:jc w:val="center"/>
        </w:trPr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 w:rsidP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脱钩后退出行业协会商会工作（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）人次，其中省部级（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）人次、地厅级（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）人次，其他（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）人次。</w:t>
            </w:r>
          </w:p>
        </w:tc>
      </w:tr>
      <w:tr w:rsidR="00AF51B4">
        <w:trPr>
          <w:trHeight w:val="988"/>
          <w:jc w:val="center"/>
        </w:trPr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 w:rsidP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脱钩后留在行业协会商会工作，退出公务员管理（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）人次，其中省部级（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）人次、地厅级（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）人次，其他（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）人次。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br/>
            </w:r>
          </w:p>
        </w:tc>
      </w:tr>
      <w:tr w:rsidR="00AF51B4">
        <w:trPr>
          <w:trHeight w:val="396"/>
          <w:jc w:val="center"/>
        </w:trPr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AF51B4" w:rsidRDefault="00576E2E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退（离）休领导干部在行业协会商会兼职的脱钩情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况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734"/>
          <w:jc w:val="center"/>
        </w:trPr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 w:rsidP="00576E2E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脱钩后退出兼任职（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）人次，其中省部级（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）人次、地厅级（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）人次，其他（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）人次。</w:t>
            </w:r>
          </w:p>
        </w:tc>
      </w:tr>
      <w:tr w:rsidR="00AF51B4">
        <w:trPr>
          <w:trHeight w:val="968"/>
          <w:jc w:val="center"/>
        </w:trPr>
        <w:tc>
          <w:tcPr>
            <w:tcW w:w="2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 w:rsidP="00576E2E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脱钩后，继续兼任职（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）人次，其中省部级（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）人次、地厅级（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）人次，其他（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）人次。</w:t>
            </w:r>
          </w:p>
        </w:tc>
      </w:tr>
      <w:tr w:rsidR="00AF51B4">
        <w:trPr>
          <w:trHeight w:val="218"/>
          <w:jc w:val="center"/>
        </w:trPr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事业编制脱钩情况</w:t>
            </w:r>
          </w:p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410"/>
          <w:jc w:val="center"/>
        </w:trPr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脱钩后核销事业编制（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）个，保留事业编制（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）个</w:t>
            </w:r>
          </w:p>
        </w:tc>
      </w:tr>
      <w:tr w:rsidR="00AF51B4">
        <w:trPr>
          <w:trHeight w:val="470"/>
          <w:jc w:val="center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现职和不担任现职但未办理退（离）休手续的公务员情况</w:t>
            </w:r>
          </w:p>
        </w:tc>
      </w:tr>
      <w:tr w:rsidR="00AF51B4">
        <w:trPr>
          <w:trHeight w:val="76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兼任行业协会商会职务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脱钩后情况</w:t>
            </w:r>
          </w:p>
        </w:tc>
      </w:tr>
      <w:tr w:rsidR="00AF51B4">
        <w:trPr>
          <w:trHeight w:val="618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61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609"/>
          <w:jc w:val="center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退（离）休领导干部情况</w:t>
            </w:r>
          </w:p>
        </w:tc>
      </w:tr>
      <w:tr w:rsidR="00AF51B4">
        <w:trPr>
          <w:trHeight w:val="61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兼任行业协会商会职务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原单位和职务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退（离）休时间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脱钩后情况</w:t>
            </w:r>
          </w:p>
        </w:tc>
      </w:tr>
      <w:tr w:rsidR="00AF51B4">
        <w:trPr>
          <w:trHeight w:val="40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48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AF51B4" w:rsidRDefault="00576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（六）党建分离情况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2190"/>
        <w:gridCol w:w="2505"/>
        <w:gridCol w:w="2548"/>
      </w:tblGrid>
      <w:tr w:rsidR="00AF51B4">
        <w:trPr>
          <w:trHeight w:val="290"/>
          <w:jc w:val="center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党组织建立情况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党员人数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党的关系归口管理部门</w:t>
            </w:r>
          </w:p>
        </w:tc>
      </w:tr>
      <w:tr w:rsidR="00AF51B4">
        <w:trPr>
          <w:trHeight w:val="156"/>
          <w:jc w:val="center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</w:t>
            </w:r>
          </w:p>
        </w:tc>
      </w:tr>
      <w:tr w:rsidR="00AF51B4">
        <w:trPr>
          <w:trHeight w:val="436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党委</w:t>
            </w:r>
          </w:p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党总支</w:t>
            </w:r>
          </w:p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党支部</w:t>
            </w:r>
          </w:p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临时党组织</w:t>
            </w:r>
          </w:p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联合党支部</w:t>
            </w:r>
          </w:p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未建立党组织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AF51B4" w:rsidRDefault="00576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（七）外事分离情况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0"/>
        <w:gridCol w:w="6973"/>
      </w:tblGrid>
      <w:tr w:rsidR="00AF51B4">
        <w:trPr>
          <w:trHeight w:val="90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外事审批权脱钩情况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382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取消外事审批权</w:t>
            </w:r>
          </w:p>
        </w:tc>
      </w:tr>
      <w:tr w:rsidR="00AF51B4">
        <w:trPr>
          <w:trHeight w:val="432"/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继续保留外事审批权</w:t>
            </w:r>
          </w:p>
        </w:tc>
      </w:tr>
      <w:tr w:rsidR="00AF51B4">
        <w:trPr>
          <w:trHeight w:val="3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脱钩前外事管理机关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9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脱钩后外事管理机关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AF51B4" w:rsidRDefault="00576E2E">
      <w:pPr>
        <w:rPr>
          <w:rFonts w:ascii="Times New Roman" w:eastAsia="仿宋_GB2312" w:hAnsi="Times New Roman" w:cs="Times New Roman"/>
          <w:b/>
          <w:color w:val="0000FF"/>
          <w:sz w:val="24"/>
        </w:rPr>
      </w:pPr>
      <w:r>
        <w:rPr>
          <w:rFonts w:ascii="Times New Roman" w:hAnsi="宋体" w:cs="Times New Roman"/>
          <w:b/>
          <w:sz w:val="28"/>
          <w:szCs w:val="28"/>
        </w:rPr>
        <w:t>（八）举办报纸期刊杂志情况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870"/>
        <w:gridCol w:w="1500"/>
        <w:gridCol w:w="1500"/>
        <w:gridCol w:w="1425"/>
        <w:gridCol w:w="2080"/>
      </w:tblGrid>
      <w:tr w:rsidR="00AF51B4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名称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刊号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主管单位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主办单位</w:t>
            </w:r>
          </w:p>
        </w:tc>
      </w:tr>
      <w:tr w:rsidR="00AF51B4">
        <w:trPr>
          <w:trHeight w:val="321"/>
          <w:jc w:val="center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脱钩前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</w:t>
            </w:r>
          </w:p>
        </w:tc>
      </w:tr>
      <w:tr w:rsidR="00AF51B4">
        <w:trPr>
          <w:trHeight w:val="34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9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9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9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AF51B4" w:rsidRDefault="00576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（九）联系挂靠关系取消情况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4215"/>
        <w:gridCol w:w="3403"/>
      </w:tblGrid>
      <w:tr w:rsidR="00AF51B4">
        <w:trPr>
          <w:trHeight w:val="140"/>
          <w:jc w:val="center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与其他行政机关或参公管理单位的联系挂靠关系取消情况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不涉及此事项</w:t>
            </w:r>
          </w:p>
        </w:tc>
      </w:tr>
      <w:tr w:rsidR="00AF51B4">
        <w:trPr>
          <w:trHeight w:val="292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涉及联系挂靠单位的脱钩事项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脱钩情况</w:t>
            </w:r>
          </w:p>
        </w:tc>
      </w:tr>
      <w:tr w:rsidR="00AF51B4">
        <w:trPr>
          <w:trHeight w:val="39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4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2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AF51B4">
        <w:trPr>
          <w:trHeight w:val="290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B4" w:rsidRDefault="00AF51B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AF51B4" w:rsidRDefault="00576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（十）脱钩后变更登记和备案手续办理情况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975"/>
        <w:gridCol w:w="5402"/>
        <w:gridCol w:w="1241"/>
      </w:tblGrid>
      <w:tr w:rsidR="00AF51B4">
        <w:trPr>
          <w:trHeight w:val="6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脱钩后业务范围是否发生变化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</w:tr>
      <w:tr w:rsidR="00AF51B4">
        <w:trPr>
          <w:trHeight w:val="6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脱钩后住所</w:t>
            </w:r>
          </w:p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是否有变化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</w:tr>
      <w:tr w:rsidR="00AF51B4">
        <w:trPr>
          <w:trHeight w:val="6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脱钩后注册资金是否发生变化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</w:tr>
      <w:tr w:rsidR="00AF51B4">
        <w:trPr>
          <w:trHeight w:val="6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脱钩后法定代表人是否发生变动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如选是，是否按法定程序办理变更登记手续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</w:tr>
      <w:tr w:rsidR="00AF51B4">
        <w:trPr>
          <w:trHeight w:val="6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脱钩后章程是否修改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如选是，是否按法定程序办理章程核准手续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</w:tr>
      <w:tr w:rsidR="00AF51B4">
        <w:trPr>
          <w:trHeight w:val="67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脱钩后负责人是否发生变动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如选是，是否按法定程序办理变更备案手续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</w:p>
          <w:p w:rsidR="00AF51B4" w:rsidRDefault="00576E2E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</w:tc>
      </w:tr>
    </w:tbl>
    <w:p w:rsidR="00AF51B4" w:rsidRDefault="00AF51B4">
      <w:pPr>
        <w:rPr>
          <w:rFonts w:ascii="Times New Roman" w:eastAsia="楷体" w:hAnsi="Times New Roman" w:cs="Times New Roman"/>
          <w:b/>
          <w:bCs/>
          <w:spacing w:val="-26"/>
          <w:sz w:val="32"/>
          <w:szCs w:val="32"/>
        </w:rPr>
      </w:pPr>
    </w:p>
    <w:p w:rsidR="00AF51B4" w:rsidRDefault="00AF51B4">
      <w:pPr>
        <w:rPr>
          <w:rFonts w:ascii="Times New Roman" w:eastAsia="楷体" w:hAnsi="Times New Roman" w:cs="Times New Roman"/>
          <w:b/>
          <w:bCs/>
          <w:spacing w:val="-26"/>
          <w:sz w:val="32"/>
          <w:szCs w:val="32"/>
        </w:rPr>
      </w:pPr>
    </w:p>
    <w:p w:rsidR="00AF51B4" w:rsidRDefault="00AF51B4">
      <w:pPr>
        <w:rPr>
          <w:rFonts w:ascii="Times New Roman" w:eastAsia="楷体" w:hAnsi="Times New Roman" w:cs="Times New Roman"/>
          <w:b/>
          <w:bCs/>
          <w:spacing w:val="-26"/>
          <w:sz w:val="32"/>
          <w:szCs w:val="32"/>
        </w:rPr>
      </w:pPr>
    </w:p>
    <w:p w:rsidR="00AF51B4" w:rsidRDefault="00AF51B4">
      <w:pPr>
        <w:rPr>
          <w:rFonts w:ascii="Times New Roman" w:eastAsia="楷体" w:hAnsi="Times New Roman" w:cs="Times New Roman"/>
          <w:b/>
          <w:bCs/>
          <w:spacing w:val="-26"/>
          <w:sz w:val="32"/>
          <w:szCs w:val="32"/>
        </w:rPr>
      </w:pPr>
    </w:p>
    <w:p w:rsidR="00AF51B4" w:rsidRDefault="00AF51B4">
      <w:pPr>
        <w:spacing w:line="500" w:lineRule="exact"/>
      </w:pPr>
      <w:bookmarkStart w:id="0" w:name="_GoBack"/>
      <w:bookmarkEnd w:id="0"/>
    </w:p>
    <w:sectPr w:rsidR="00AF51B4" w:rsidSect="00AF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14" w:rsidRDefault="00FE3714" w:rsidP="00AF51B4">
      <w:r>
        <w:separator/>
      </w:r>
    </w:p>
  </w:endnote>
  <w:endnote w:type="continuationSeparator" w:id="1">
    <w:p w:rsidR="00FE3714" w:rsidRDefault="00FE3714" w:rsidP="00AF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1" w:rsidRDefault="005D7E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B4" w:rsidRDefault="00AF51B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1" w:rsidRDefault="005D7E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14" w:rsidRDefault="00FE3714" w:rsidP="00AF51B4">
      <w:r>
        <w:separator/>
      </w:r>
    </w:p>
  </w:footnote>
  <w:footnote w:type="continuationSeparator" w:id="1">
    <w:p w:rsidR="00FE3714" w:rsidRDefault="00FE3714" w:rsidP="00AF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1" w:rsidRDefault="005D7E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1" w:rsidRDefault="005D7E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1" w:rsidRDefault="005D7E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6442E1"/>
    <w:rsid w:val="002B55B8"/>
    <w:rsid w:val="002E020A"/>
    <w:rsid w:val="00576E2E"/>
    <w:rsid w:val="00593B05"/>
    <w:rsid w:val="005D7E21"/>
    <w:rsid w:val="006C7716"/>
    <w:rsid w:val="00783FC0"/>
    <w:rsid w:val="007B24FC"/>
    <w:rsid w:val="00826479"/>
    <w:rsid w:val="008427FF"/>
    <w:rsid w:val="00864723"/>
    <w:rsid w:val="00947801"/>
    <w:rsid w:val="00A67AFC"/>
    <w:rsid w:val="00AF51B4"/>
    <w:rsid w:val="00FE3714"/>
    <w:rsid w:val="5864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1B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B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24F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1909</Characters>
  <Application>Microsoft Office Word</Application>
  <DocSecurity>0</DocSecurity>
  <Lines>15</Lines>
  <Paragraphs>4</Paragraphs>
  <ScaleCrop>false</ScaleCrop>
  <Company>china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stc2896514</cp:lastModifiedBy>
  <cp:revision>7</cp:revision>
  <dcterms:created xsi:type="dcterms:W3CDTF">2016-07-25T08:37:00Z</dcterms:created>
  <dcterms:modified xsi:type="dcterms:W3CDTF">2017-03-21T09:22:00Z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