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70B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eastAsia="zh-CN"/>
        </w:rPr>
        <w:t>附件</w:t>
      </w:r>
    </w:p>
    <w:p w14:paraId="5D22A273">
      <w:pPr>
        <w:pStyle w:val="3"/>
        <w:rPr>
          <w:rFonts w:hint="eastAsia"/>
          <w:lang w:eastAsia="zh-CN"/>
        </w:rPr>
      </w:pPr>
    </w:p>
    <w:p w14:paraId="0931E35C">
      <w:pPr>
        <w:spacing w:line="560" w:lineRule="exact"/>
        <w:jc w:val="center"/>
        <w:rPr>
          <w:rFonts w:eastAsia="方正小标宋简体"/>
          <w:bCs/>
          <w:sz w:val="42"/>
          <w:szCs w:val="42"/>
        </w:rPr>
      </w:pPr>
      <w:r>
        <w:rPr>
          <w:rFonts w:eastAsia="方正小标宋简体"/>
          <w:bCs/>
          <w:sz w:val="42"/>
          <w:szCs w:val="42"/>
        </w:rPr>
        <w:t>关于深化</w:t>
      </w:r>
      <w:r>
        <w:rPr>
          <w:rFonts w:hint="eastAsia" w:eastAsia="方正小标宋简体"/>
          <w:bCs/>
          <w:sz w:val="42"/>
          <w:szCs w:val="42"/>
          <w:lang w:eastAsia="zh-CN"/>
        </w:rPr>
        <w:t>兵团</w:t>
      </w:r>
      <w:r>
        <w:rPr>
          <w:rFonts w:eastAsia="方正小标宋简体"/>
          <w:bCs/>
          <w:sz w:val="42"/>
          <w:szCs w:val="42"/>
        </w:rPr>
        <w:t>养老服务改革发展的</w:t>
      </w:r>
      <w:r>
        <w:rPr>
          <w:rFonts w:hint="eastAsia" w:eastAsia="方正小标宋简体"/>
          <w:bCs/>
          <w:sz w:val="42"/>
          <w:szCs w:val="42"/>
          <w:lang w:eastAsia="zh-CN"/>
        </w:rPr>
        <w:t>工作</w:t>
      </w:r>
      <w:r>
        <w:rPr>
          <w:rFonts w:eastAsia="方正小标宋简体"/>
          <w:bCs/>
          <w:sz w:val="42"/>
          <w:szCs w:val="42"/>
        </w:rPr>
        <w:t>方案</w:t>
      </w:r>
    </w:p>
    <w:p w14:paraId="18E33FD6">
      <w:pPr>
        <w:spacing w:line="560" w:lineRule="exact"/>
        <w:jc w:val="center"/>
        <w:rPr>
          <w:rFonts w:eastAsia="仿宋_GB2312"/>
          <w:bCs/>
          <w:sz w:val="32"/>
          <w:szCs w:val="32"/>
        </w:rPr>
      </w:pPr>
      <w:r>
        <w:rPr>
          <w:rFonts w:eastAsia="仿宋_GB2312"/>
          <w:bCs/>
          <w:sz w:val="32"/>
          <w:szCs w:val="32"/>
        </w:rPr>
        <w:t>（</w:t>
      </w:r>
      <w:r>
        <w:rPr>
          <w:rFonts w:hint="eastAsia" w:eastAsia="仿宋_GB2312"/>
          <w:bCs/>
          <w:sz w:val="32"/>
          <w:szCs w:val="32"/>
          <w:lang w:eastAsia="zh-CN"/>
        </w:rPr>
        <w:t>征求意见</w:t>
      </w:r>
      <w:r>
        <w:rPr>
          <w:rFonts w:eastAsia="仿宋_GB2312"/>
          <w:bCs/>
          <w:sz w:val="32"/>
          <w:szCs w:val="32"/>
        </w:rPr>
        <w:t>稿）</w:t>
      </w:r>
    </w:p>
    <w:p w14:paraId="63E55B86">
      <w:pPr>
        <w:keepNext/>
        <w:keepLines/>
        <w:spacing w:line="560" w:lineRule="exact"/>
        <w:ind w:firstLine="640" w:firstLineChars="200"/>
        <w:rPr>
          <w:rFonts w:eastAsia="方正仿宋_GBK"/>
          <w:bCs/>
          <w:sz w:val="32"/>
          <w:szCs w:val="32"/>
        </w:rPr>
      </w:pPr>
    </w:p>
    <w:p w14:paraId="15479843">
      <w:pPr>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为贯彻落实</w:t>
      </w:r>
      <w:r>
        <w:rPr>
          <w:rFonts w:hint="eastAsia" w:ascii="Times New Roman" w:hAnsi="Times New Roman" w:eastAsia="仿宋_GB2312" w:cs="Times New Roman"/>
          <w:bCs/>
          <w:sz w:val="32"/>
          <w:szCs w:val="32"/>
          <w:lang w:eastAsia="zh-CN"/>
        </w:rPr>
        <w:t>党</w:t>
      </w:r>
      <w:bookmarkStart w:id="0" w:name="_GoBack"/>
      <w:bookmarkEnd w:id="0"/>
      <w:r>
        <w:rPr>
          <w:rFonts w:hint="default" w:ascii="Times New Roman" w:hAnsi="Times New Roman" w:eastAsia="仿宋_GB2312" w:cs="Times New Roman"/>
          <w:bCs/>
          <w:sz w:val="32"/>
          <w:szCs w:val="32"/>
        </w:rPr>
        <w:t>中央</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国务院关于深化养老服务改革发展的决策部署，</w:t>
      </w:r>
      <w:r>
        <w:rPr>
          <w:rFonts w:hint="default" w:ascii="Times New Roman" w:hAnsi="Times New Roman" w:eastAsia="仿宋_GB2312" w:cs="Times New Roman"/>
          <w:bCs/>
          <w:sz w:val="32"/>
          <w:szCs w:val="32"/>
          <w:lang w:eastAsia="zh-CN"/>
        </w:rPr>
        <w:t>贯彻落实自治区党委、自治区人民政府全面深化养老服务改革的具体安排，</w:t>
      </w:r>
      <w:r>
        <w:rPr>
          <w:rFonts w:hint="default" w:ascii="Times New Roman" w:hAnsi="Times New Roman" w:eastAsia="仿宋_GB2312" w:cs="Times New Roman"/>
          <w:bCs/>
          <w:sz w:val="32"/>
          <w:szCs w:val="32"/>
        </w:rPr>
        <w:t>实施积极应对人口老龄化国家战略，加快推进兵团养老服务改革，进一步激发养老事业和养老产业发展活力，更好保障老有所养，让全体老年人安享幸福晚年，结合兵团实际，制定本方案。</w:t>
      </w:r>
    </w:p>
    <w:p w14:paraId="3990821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一、工作目标</w:t>
      </w:r>
    </w:p>
    <w:p w14:paraId="02ED6B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到2029年，兵团养老服务网络基本建成，师市级综合养老服务管理平台、团镇（街道）区域养老服务中心全面覆盖，社区（连队）养老服务设施站点覆盖率达到80%以上，服务供给能力和服务水平明显提升，扩容提质增效取得明显进展，基本养老服务供给不断优化；到2035年，养老服务网络更加健全，社区（连队）养老服务设施站点全面覆盖，服务供给与需求更加协调适配，全体老年人享有基本养老服务，适合兵团特点的养老服务体系成熟定型。</w:t>
      </w:r>
    </w:p>
    <w:p w14:paraId="231872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二、重点任务</w:t>
      </w:r>
    </w:p>
    <w:p w14:paraId="1480F04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（一）加快构建师市、团镇（街道）、社区（连队）三级养老服务网络</w:t>
      </w:r>
    </w:p>
    <w:p w14:paraId="35B27FDA">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lang w:eastAsia="zh-CN"/>
        </w:rPr>
        <w:t>完成</w:t>
      </w:r>
      <w:r>
        <w:rPr>
          <w:rFonts w:hint="default" w:ascii="Times New Roman" w:hAnsi="Times New Roman" w:eastAsia="仿宋_GB2312" w:cs="Times New Roman"/>
          <w:b/>
          <w:sz w:val="32"/>
          <w:szCs w:val="32"/>
        </w:rPr>
        <w:t>师市级综合养老服务管理平台建设。</w:t>
      </w:r>
      <w:r>
        <w:rPr>
          <w:rFonts w:hint="default" w:ascii="Times New Roman" w:hAnsi="Times New Roman" w:eastAsia="仿宋_GB2312" w:cs="Times New Roman"/>
          <w:bCs/>
          <w:sz w:val="32"/>
          <w:szCs w:val="32"/>
          <w:lang w:eastAsia="zh-CN"/>
        </w:rPr>
        <w:t>各</w:t>
      </w:r>
      <w:r>
        <w:rPr>
          <w:rFonts w:hint="default" w:ascii="Times New Roman" w:hAnsi="Times New Roman" w:eastAsia="仿宋_GB2312" w:cs="Times New Roman"/>
          <w:bCs/>
          <w:sz w:val="32"/>
          <w:szCs w:val="32"/>
        </w:rPr>
        <w:t>师市</w:t>
      </w:r>
      <w:r>
        <w:rPr>
          <w:rFonts w:hint="default" w:ascii="Times New Roman" w:hAnsi="Times New Roman" w:eastAsia="仿宋_GB2312" w:cs="Times New Roman"/>
          <w:bCs/>
          <w:sz w:val="32"/>
          <w:szCs w:val="32"/>
          <w:lang w:eastAsia="zh-CN"/>
        </w:rPr>
        <w:t>依托满足</w:t>
      </w:r>
      <w:r>
        <w:rPr>
          <w:rFonts w:hint="default" w:ascii="Times New Roman" w:hAnsi="Times New Roman" w:eastAsia="仿宋_GB2312" w:cs="Times New Roman"/>
          <w:bCs/>
          <w:sz w:val="32"/>
          <w:szCs w:val="32"/>
        </w:rPr>
        <w:t>失能照护的公办养老服务机构和兵团</w:t>
      </w:r>
      <w:r>
        <w:rPr>
          <w:rFonts w:hint="default" w:ascii="Times New Roman" w:hAnsi="Times New Roman" w:eastAsia="仿宋_GB2312" w:cs="Times New Roman"/>
          <w:bCs/>
          <w:sz w:val="32"/>
          <w:szCs w:val="32"/>
          <w:lang w:eastAsia="zh-CN"/>
        </w:rPr>
        <w:t>智慧</w:t>
      </w:r>
      <w:r>
        <w:rPr>
          <w:rFonts w:hint="default" w:ascii="Times New Roman" w:hAnsi="Times New Roman" w:eastAsia="仿宋_GB2312" w:cs="Times New Roman"/>
          <w:bCs/>
          <w:sz w:val="32"/>
          <w:szCs w:val="32"/>
        </w:rPr>
        <w:t>养老</w:t>
      </w:r>
      <w:r>
        <w:rPr>
          <w:rFonts w:hint="default" w:ascii="Times New Roman" w:hAnsi="Times New Roman" w:eastAsia="仿宋_GB2312" w:cs="Times New Roman"/>
          <w:bCs/>
          <w:sz w:val="32"/>
          <w:szCs w:val="32"/>
          <w:lang w:eastAsia="zh-CN"/>
        </w:rPr>
        <w:t>综</w:t>
      </w:r>
      <w:r>
        <w:rPr>
          <w:rFonts w:hint="default" w:ascii="Times New Roman" w:hAnsi="Times New Roman" w:eastAsia="仿宋_GB2312" w:cs="Times New Roman"/>
          <w:bCs/>
          <w:sz w:val="32"/>
          <w:szCs w:val="32"/>
        </w:rPr>
        <w:t>合信息</w:t>
      </w:r>
      <w:r>
        <w:rPr>
          <w:rFonts w:hint="default" w:ascii="Times New Roman" w:hAnsi="Times New Roman" w:eastAsia="仿宋_GB2312" w:cs="Times New Roman"/>
          <w:bCs/>
          <w:sz w:val="32"/>
          <w:szCs w:val="32"/>
          <w:lang w:eastAsia="zh-CN"/>
        </w:rPr>
        <w:t>平台</w:t>
      </w:r>
      <w:r>
        <w:rPr>
          <w:rFonts w:hint="default" w:ascii="Times New Roman" w:hAnsi="Times New Roman" w:eastAsia="仿宋_GB2312" w:cs="Times New Roman"/>
          <w:bCs/>
          <w:sz w:val="32"/>
          <w:szCs w:val="32"/>
        </w:rPr>
        <w:t>建</w:t>
      </w:r>
      <w:r>
        <w:rPr>
          <w:rFonts w:hint="default" w:ascii="Times New Roman" w:hAnsi="Times New Roman" w:eastAsia="仿宋_GB2312" w:cs="Times New Roman"/>
          <w:bCs/>
          <w:sz w:val="32"/>
          <w:szCs w:val="32"/>
          <w:lang w:eastAsia="zh-CN"/>
        </w:rPr>
        <w:t>成</w:t>
      </w:r>
      <w:r>
        <w:rPr>
          <w:rFonts w:hint="default" w:ascii="Times New Roman" w:hAnsi="Times New Roman" w:eastAsia="仿宋_GB2312" w:cs="Times New Roman"/>
          <w:bCs/>
          <w:sz w:val="32"/>
          <w:szCs w:val="32"/>
        </w:rPr>
        <w:t>师市级综合养老服务管理平台，在履行兜底保障、失能集中照护基础上，拓展和强化服务示范、行业指导、应急救助、资源协调、质量监控等综合功能，发挥指挥中心、调度中心作用，统筹推动师域养老服务资源高效利用。</w:t>
      </w:r>
      <w:r>
        <w:rPr>
          <w:rFonts w:hint="default" w:ascii="Times New Roman" w:hAnsi="Times New Roman" w:eastAsia="仿宋_GB2312" w:cs="Times New Roman"/>
          <w:b/>
          <w:bCs/>
          <w:sz w:val="32"/>
          <w:szCs w:val="32"/>
        </w:rPr>
        <w:t>（兵团发展改革委、民政局、财政局、数据局按职责分工负责，各师市负责）</w:t>
      </w:r>
    </w:p>
    <w:p w14:paraId="58A81465">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2.加强团镇（街道）区域养老服务能力建设。</w:t>
      </w:r>
      <w:r>
        <w:rPr>
          <w:rFonts w:hint="default" w:ascii="Times New Roman" w:hAnsi="Times New Roman" w:eastAsia="仿宋_GB2312" w:cs="Times New Roman"/>
          <w:bCs/>
          <w:sz w:val="32"/>
          <w:szCs w:val="32"/>
        </w:rPr>
        <w:t>统筹考虑人口密度、老年人口分布状况、服务半径及需求，依托团镇（街道）养老机构，改扩建为区域养老服务中心。围绕老年人多元需求链接汇聚资源，发挥专业照护、服务转介、资源链接、助餐配餐、便捷养老等作用，延伸服务至社区（连队）居家老年人。实施团场养老服务能力提升试点项目，总结推广各种类型团场养老工作做法，规范团镇养老</w:t>
      </w:r>
      <w:r>
        <w:rPr>
          <w:rFonts w:hint="eastAsia" w:ascii="Times New Roman" w:hAnsi="Times New Roman" w:eastAsia="仿宋_GB2312" w:cs="Times New Roman"/>
          <w:bCs/>
          <w:sz w:val="32"/>
          <w:szCs w:val="32"/>
          <w:lang w:eastAsia="zh-CN"/>
        </w:rPr>
        <w:t>服务</w:t>
      </w:r>
      <w:r>
        <w:rPr>
          <w:rFonts w:hint="default" w:ascii="Times New Roman" w:hAnsi="Times New Roman" w:eastAsia="仿宋_GB2312" w:cs="Times New Roman"/>
          <w:bCs/>
          <w:sz w:val="32"/>
          <w:szCs w:val="32"/>
        </w:rPr>
        <w:t>体系建设。探索养老机构管理和运营机制改革，对基础设施设备老化、消防设施不达标、入住率低且不具备整改条件的</w:t>
      </w:r>
      <w:r>
        <w:rPr>
          <w:rFonts w:hint="default" w:ascii="Times New Roman" w:hAnsi="Times New Roman" w:eastAsia="仿宋_GB2312" w:cs="Times New Roman"/>
          <w:bCs/>
          <w:sz w:val="32"/>
          <w:szCs w:val="32"/>
          <w:lang w:eastAsia="zh-CN"/>
        </w:rPr>
        <w:t>机构</w:t>
      </w:r>
      <w:r>
        <w:rPr>
          <w:rFonts w:hint="default" w:ascii="Times New Roman" w:hAnsi="Times New Roman" w:eastAsia="仿宋_GB2312" w:cs="Times New Roman"/>
          <w:bCs/>
          <w:sz w:val="32"/>
          <w:szCs w:val="32"/>
        </w:rPr>
        <w:t>依法依规因地制宜进行撤并整合。</w:t>
      </w:r>
      <w:r>
        <w:rPr>
          <w:rFonts w:hint="default" w:ascii="Times New Roman" w:hAnsi="Times New Roman" w:eastAsia="仿宋_GB2312" w:cs="Times New Roman"/>
          <w:b/>
          <w:bCs/>
          <w:sz w:val="32"/>
          <w:szCs w:val="32"/>
        </w:rPr>
        <w:t>（兵团发展改革委、民政局、财政局按职责分工负责，各师市负责）</w:t>
      </w:r>
    </w:p>
    <w:p w14:paraId="4019AD2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3.完善社区（连队）养老服务设施站点。</w:t>
      </w:r>
      <w:r>
        <w:rPr>
          <w:rFonts w:hint="default" w:ascii="Times New Roman" w:hAnsi="Times New Roman" w:eastAsia="仿宋_GB2312" w:cs="Times New Roman"/>
          <w:bCs/>
          <w:sz w:val="32"/>
          <w:szCs w:val="32"/>
        </w:rPr>
        <w:t>充分发挥团镇（街道）区域养老服务中心示范带动作用，采取“中心+站点”等方式，发展嵌入式社区养老服务设施、互助性养老服务站点。老旧小区因地制宜增设养老服务设施，充分整合社区日间照料中心、民政服务站、社区综合服务中心，以及教育、卫生健康、文化等公共服务设施等资源，完善养老服务设施；新建小区落实养老服务设施配建“四同步”要求，推动完整社区建设。因地制宜将社区（连队）养老服务设施纳入相关空间布局规划，扩大养老服务供给，制定社区（连队）养老服务设施站点服务清单，发挥连接家庭与社会服务的作用，收集和转介服务需求，按需开展短期托养、日间照料、老年助餐、上门服务、康复指导等延伸服务。</w:t>
      </w:r>
      <w:r>
        <w:rPr>
          <w:rFonts w:hint="default" w:ascii="Times New Roman" w:hAnsi="Times New Roman" w:eastAsia="仿宋_GB2312" w:cs="Times New Roman"/>
          <w:b/>
          <w:bCs/>
          <w:sz w:val="32"/>
          <w:szCs w:val="32"/>
        </w:rPr>
        <w:t>（兵团发展改革委、教育局、民政局、财政局、自然资源局、住房城乡建设局、商务局、文体广旅局、卫生健康委、医保局按职责分工负责，各师市负责）</w:t>
      </w:r>
    </w:p>
    <w:p w14:paraId="652AB354">
      <w:pPr>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（二）贯通协调居家社区机构服务形态</w:t>
      </w:r>
    </w:p>
    <w:p w14:paraId="7CD6067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4.巩固居家养老基础作用。</w:t>
      </w:r>
      <w:r>
        <w:rPr>
          <w:rFonts w:hint="default" w:ascii="Times New Roman" w:hAnsi="Times New Roman" w:eastAsia="仿宋_GB2312" w:cs="Times New Roman"/>
          <w:bCs/>
          <w:sz w:val="32"/>
          <w:szCs w:val="32"/>
        </w:rPr>
        <w:t>依托养老服务机构，为居家失能老年人设置家庭养老床位，提供居家适老化改造、智能化配置、上门照护等专业照护服务。将失能老年人家庭成员照护培训纳入兵团养老服务人才建设体系。优化小区、连队网络覆盖范围</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提升数字技术适老化能力，简化操作流程，提升老年人服务体验。积极培育发展专业化服务机构，鼓励社区和家政、互联网平台企业等，提供老年助餐、助浴、助洁、助行、助医、助急等居家养老上门服务。规范老年助餐服务，探索长效运行机制，培育发展“老军垦食堂”等服务品牌。各师市要积极探索通过政府补贴、低息贷款等方式将适老化改造范围延伸至普通家庭。推动城镇老旧小区改造，支持老旧小区加装电梯，加强无障碍环境建设。</w:t>
      </w:r>
      <w:r>
        <w:rPr>
          <w:rFonts w:hint="default" w:ascii="Times New Roman" w:hAnsi="Times New Roman" w:eastAsia="仿宋_GB2312" w:cs="Times New Roman"/>
          <w:b/>
          <w:bCs/>
          <w:sz w:val="32"/>
          <w:szCs w:val="32"/>
        </w:rPr>
        <w:t>（兵团工业信息化局、民政局、住房城乡建设局、商务局按职责分工负责，各师市负责）</w:t>
      </w:r>
    </w:p>
    <w:p w14:paraId="40B78D0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5.强化社区养老依托作用。</w:t>
      </w:r>
      <w:r>
        <w:rPr>
          <w:rFonts w:hint="default" w:ascii="Times New Roman" w:hAnsi="Times New Roman" w:eastAsia="仿宋_GB2312" w:cs="Times New Roman"/>
          <w:bCs/>
          <w:sz w:val="32"/>
          <w:szCs w:val="32"/>
        </w:rPr>
        <w:t>扩大社区养老服务有效供给，强化对居家养老的支持。整合团镇（街道）、社区各类低效公共服务场所、闲置国有资产等资源，发展嵌入式社区养老服务，推行“社区+物业+养老服务”</w:t>
      </w:r>
      <w:r>
        <w:rPr>
          <w:rFonts w:hint="eastAsia" w:ascii="Times New Roman" w:hAnsi="Times New Roman" w:eastAsia="仿宋_GB2312" w:cs="Times New Roman"/>
          <w:bCs/>
          <w:sz w:val="32"/>
          <w:szCs w:val="32"/>
          <w:lang w:eastAsia="zh-CN"/>
        </w:rPr>
        <w:t>模式</w:t>
      </w:r>
      <w:r>
        <w:rPr>
          <w:rFonts w:hint="default" w:ascii="Times New Roman" w:hAnsi="Times New Roman" w:eastAsia="仿宋_GB2312" w:cs="Times New Roman"/>
          <w:bCs/>
          <w:sz w:val="32"/>
          <w:szCs w:val="32"/>
        </w:rPr>
        <w:t>，提升专业照护、日间照料、康复护理、上门服务等能力。推进示范性社区居家养老服务网络建设。探索开展“养老顾问”服务，重点开展养老服务信息咨询、技术指导、委托代办、资源链接等服务项目。加强连队“两委”、社区工作者培训，提升协助开展养老服务的能力。培育社区（连队）基层老年协会，完善社区老年人活动场所，积极组织老年人开展文体娱乐、社会交往等活动。建立以连队</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两委</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、社区</w:t>
      </w:r>
      <w:r>
        <w:rPr>
          <w:rFonts w:hint="default" w:ascii="Times New Roman" w:hAnsi="Times New Roman" w:eastAsia="仿宋_GB2312" w:cs="Times New Roman"/>
          <w:bCs/>
          <w:sz w:val="32"/>
          <w:szCs w:val="32"/>
          <w:lang w:eastAsia="zh-CN"/>
        </w:rPr>
        <w:t>工作者、</w:t>
      </w:r>
      <w:r>
        <w:rPr>
          <w:rFonts w:hint="default" w:ascii="Times New Roman" w:hAnsi="Times New Roman" w:eastAsia="仿宋_GB2312" w:cs="Times New Roman"/>
          <w:bCs/>
          <w:sz w:val="32"/>
          <w:szCs w:val="32"/>
        </w:rPr>
        <w:t>网格员、志愿者为主的特殊困难老年人定期探访关爱制度，加强对独居、留守、高龄、失能、残疾等特殊老年人探访关爱服务。</w:t>
      </w:r>
      <w:r>
        <w:rPr>
          <w:rFonts w:hint="default" w:ascii="Times New Roman" w:hAnsi="Times New Roman" w:eastAsia="仿宋_GB2312" w:cs="Times New Roman"/>
          <w:b/>
          <w:bCs/>
          <w:sz w:val="32"/>
          <w:szCs w:val="32"/>
        </w:rPr>
        <w:t>（兵团党委社会工作部，兵团民政局、财政局、住房城乡建设局、卫生健康委、商务局、医保局按职责分工负责，各师市负责）</w:t>
      </w:r>
    </w:p>
    <w:p w14:paraId="28D895D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sz w:val="32"/>
          <w:szCs w:val="32"/>
        </w:rPr>
        <w:t>6.优化机构养老专业支撑作用。</w:t>
      </w:r>
      <w:r>
        <w:rPr>
          <w:rFonts w:hint="default" w:ascii="Times New Roman" w:hAnsi="Times New Roman" w:eastAsia="仿宋_GB2312" w:cs="Times New Roman"/>
          <w:bCs/>
          <w:sz w:val="32"/>
          <w:szCs w:val="32"/>
        </w:rPr>
        <w:t>完善养老机构优惠扶持政策，盘活存量、优化增量，加强现有养老机构护理床位改造升级，增加护理型床位供给，强化养老服务机构的失能、失智护理功能。探索政府和社会资本合作等方式，组建社会化健康养老服务企业或机构，引导提升专业照护技能和服务水平。充分发挥养老机构技术创新示范、服务技能培训、设备推广应用等作用。支持养老机构通过家庭养老床位、社区日间照料等形式，将专业化服务延伸至居家和社区，满足老年人多样化个性化照护需求。支持“老年父母+残疾子女”共同入住养老机构</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探索推动有能力、有条件的养老机构收住重度残疾人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经济困难失能老年人</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开展季节性短期照护。</w:t>
      </w:r>
      <w:r>
        <w:rPr>
          <w:rFonts w:hint="default" w:ascii="Times New Roman" w:hAnsi="Times New Roman" w:eastAsia="仿宋_GB2312" w:cs="Times New Roman"/>
          <w:b/>
          <w:bCs/>
          <w:sz w:val="32"/>
          <w:szCs w:val="32"/>
        </w:rPr>
        <w:t>（兵团发展改革委、民政局、财政局、残联按职责分工负责，各师市负责）</w:t>
      </w:r>
    </w:p>
    <w:p w14:paraId="4A9DA19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7.促进医养康养融合发展。</w:t>
      </w:r>
      <w:r>
        <w:rPr>
          <w:rFonts w:hint="default" w:ascii="Times New Roman" w:hAnsi="Times New Roman" w:eastAsia="仿宋_GB2312" w:cs="Times New Roman"/>
          <w:bCs/>
          <w:sz w:val="32"/>
          <w:szCs w:val="32"/>
        </w:rPr>
        <w:t>研究制定医养结合服务工作指引，推动医疗卫生服务与养老服务在政策体系、服务制度、业务流程等方面的有机结合，加强疾病防控。加强养老服务机构和医疗卫生服务机构协同，健全稳定顺畅的双向转接绿色通道，简化转诊就医程序。大力发展居家和社区医养结合，支持有条件的医疗卫生机构开展医养结合服务，支持养老机构提升医养结合服务能力。支持将自愿申请且符合条件的养老机构内设医疗机构纳入医保定点范围，依法依规赋予相应处方权。鼓励具备相应医疗条件的养老机构依法依规开展安宁疗护服务。加强失能高危人群早期识别和失能预防，开展健康指导和综合干预。</w:t>
      </w:r>
      <w:r>
        <w:rPr>
          <w:rFonts w:hint="default" w:ascii="Times New Roman" w:hAnsi="Times New Roman" w:eastAsia="仿宋_GB2312" w:cs="Times New Roman"/>
          <w:b/>
          <w:bCs/>
          <w:sz w:val="32"/>
          <w:szCs w:val="32"/>
        </w:rPr>
        <w:t>（兵团民政局、卫生健康委、医保局按职责分工负责，各师市负责）</w:t>
      </w:r>
    </w:p>
    <w:p w14:paraId="4782797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8.健全养老服务综合监管制度。</w:t>
      </w:r>
      <w:r>
        <w:rPr>
          <w:rFonts w:hint="default" w:ascii="Times New Roman" w:hAnsi="Times New Roman" w:eastAsia="仿宋_GB2312" w:cs="Times New Roman"/>
          <w:bCs/>
          <w:sz w:val="32"/>
          <w:szCs w:val="32"/>
        </w:rPr>
        <w:t>健全养老服务标准和评价体系，规范养老机构消防</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食品安全管理等。推动完善养老服务跨部门协同监管及信息共享机制，健全完善养老服务监管部门责任清单，常态化开展“双随机、一公开”监管。完善养老机构登记备案管理，加强预收费监管。加强养老机构涉嫌非法集资风险监测预警，防范化解养老服务领域非法集资等各类风险，保护老年人合法权益。健全养老服务应急管理体系，探索建立区域性养老应急救援技术服务中心，健全安全风险隐患自查自改自控机制。加强老年用品质量监管，完善《养老机构突发事件处置应急预案》，压实养老服务机构、有关管理部门及属地责任。</w:t>
      </w:r>
      <w:r>
        <w:rPr>
          <w:rFonts w:hint="default" w:ascii="Times New Roman" w:hAnsi="Times New Roman" w:eastAsia="仿宋_GB2312" w:cs="Times New Roman"/>
          <w:b/>
          <w:bCs/>
          <w:sz w:val="32"/>
          <w:szCs w:val="32"/>
        </w:rPr>
        <w:t>（兵团</w:t>
      </w:r>
      <w:r>
        <w:rPr>
          <w:rFonts w:hint="default" w:ascii="Times New Roman" w:hAnsi="Times New Roman" w:eastAsia="仿宋_GB2312" w:cs="Times New Roman"/>
          <w:b/>
          <w:bCs/>
          <w:sz w:val="32"/>
          <w:szCs w:val="32"/>
          <w:lang w:eastAsia="zh-CN"/>
        </w:rPr>
        <w:t>公安局、</w:t>
      </w:r>
      <w:r>
        <w:rPr>
          <w:rFonts w:hint="default" w:ascii="Times New Roman" w:hAnsi="Times New Roman" w:eastAsia="仿宋_GB2312" w:cs="Times New Roman"/>
          <w:b/>
          <w:bCs/>
          <w:sz w:val="32"/>
          <w:szCs w:val="32"/>
        </w:rPr>
        <w:t>民政局、市场监管局、</w:t>
      </w:r>
      <w:r>
        <w:rPr>
          <w:rFonts w:hint="default" w:ascii="Times New Roman" w:hAnsi="Times New Roman" w:eastAsia="仿宋_GB2312" w:cs="Times New Roman"/>
          <w:b/>
          <w:bCs/>
          <w:sz w:val="32"/>
          <w:szCs w:val="32"/>
          <w:lang w:eastAsia="zh-CN"/>
        </w:rPr>
        <w:t>应急管理局、</w:t>
      </w:r>
      <w:r>
        <w:rPr>
          <w:rFonts w:hint="default" w:ascii="Times New Roman" w:hAnsi="Times New Roman" w:eastAsia="仿宋_GB2312" w:cs="Times New Roman"/>
          <w:b/>
          <w:bCs/>
          <w:sz w:val="32"/>
          <w:szCs w:val="32"/>
        </w:rPr>
        <w:t>地方金融管理局按职责分工负责，各师市负责）</w:t>
      </w:r>
    </w:p>
    <w:p w14:paraId="37B89B9F">
      <w:pPr>
        <w:pStyle w:val="2"/>
        <w:pageBreakBefore w:val="0"/>
        <w:widowControl w:val="0"/>
        <w:kinsoku/>
        <w:wordWrap/>
        <w:overflowPunct/>
        <w:topLinePunct w:val="0"/>
        <w:autoSpaceDE/>
        <w:autoSpaceDN/>
        <w:bidi w:val="0"/>
        <w:adjustRightInd/>
        <w:snapToGrid/>
        <w:spacing w:beforeLines="0" w:afterLines="0" w:line="560" w:lineRule="exact"/>
        <w:ind w:firstLine="619" w:firstLineChars="200"/>
        <w:jc w:val="both"/>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（三）构建养老服务事业产业发展三方协同机制</w:t>
      </w:r>
    </w:p>
    <w:p w14:paraId="1FD111EE">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9.强化师市主导作用。</w:t>
      </w:r>
      <w:r>
        <w:rPr>
          <w:rFonts w:hint="default" w:ascii="Times New Roman" w:hAnsi="Times New Roman" w:eastAsia="仿宋_GB2312" w:cs="Times New Roman"/>
          <w:bCs/>
          <w:sz w:val="32"/>
          <w:szCs w:val="32"/>
        </w:rPr>
        <w:t>强化师市对养老服务的规划引导、政策支持、组织保障、监督管理，扩大普惠性、基础性、兜底性养老服务供给。兜底性养老服务设施主要由师市依规划建设供给。完善基本养老服务清单制度，优化服务内容，健全服务供给、评价和动态调整机制。建立促进普惠养老服务高质量发展机制，落实养老服务建设补贴、运营补贴政策，加大设施建设和场地供给支持力度，大力发展价格可负担、质量有保障、运营可持续的普惠养老服务。推动残疾人残疾分类分级与老年人综合能力评估标准的衔接，探索评估结果跨部门互认机制。建立常住地养老服务供给机制，完善与新疆维吾尔自治区、疆外养老服务资源对接等机制。</w:t>
      </w:r>
      <w:r>
        <w:rPr>
          <w:rFonts w:hint="default" w:ascii="Times New Roman" w:hAnsi="Times New Roman" w:eastAsia="仿宋_GB2312" w:cs="Times New Roman"/>
          <w:b/>
          <w:bCs/>
          <w:sz w:val="32"/>
          <w:szCs w:val="32"/>
        </w:rPr>
        <w:t>（兵团发展改革委、民政局、财政局、医保局、残联按职责分工负责，各师市负责）</w:t>
      </w:r>
    </w:p>
    <w:p w14:paraId="6EDD29B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10.完善市场资源配置。</w:t>
      </w:r>
      <w:r>
        <w:rPr>
          <w:rFonts w:hint="default" w:ascii="Times New Roman" w:hAnsi="Times New Roman" w:eastAsia="仿宋_GB2312" w:cs="Times New Roman"/>
          <w:bCs/>
          <w:sz w:val="32"/>
          <w:szCs w:val="32"/>
        </w:rPr>
        <w:t>充分激发市场活力，支持国有资本、民间资本等各类市场主体按市场化原则积极参与养老服务，发挥市场配置资源作用。完善社会化运营机制、分类考核评价机制和扶持政策落实评价机制，加快推动养老服务产业规模化、标准化、集群化、品牌化发展，培育高品质服务模式。鼓励国有企业、事业单位盘活闲置资产开展养老服务，实行委托运营的，按稳定经营预期原则确定租期；运营方有较大投入的，租期可适当延长。加强老年用品研发和推广，发挥促进服务消费发展工作协调机制作用，支持养老服务消费场景创新，释放养老消费潜力。推进智慧旅游适老化，推出兵团特色“银发消费季”、“康养旅游线路”，为老年旅客提供更加智慧便捷的适老化服务。探索开展兵团银发旅游列车，提升老年旅游的舒适度和体验感。</w:t>
      </w:r>
      <w:r>
        <w:rPr>
          <w:rFonts w:hint="default" w:ascii="Times New Roman" w:hAnsi="Times New Roman" w:eastAsia="仿宋_GB2312" w:cs="Times New Roman"/>
          <w:b/>
          <w:bCs/>
          <w:sz w:val="32"/>
          <w:szCs w:val="32"/>
        </w:rPr>
        <w:t>（兵团国资委、发展改革委、民政局、工业信息化局、财政局、商务局、文体广旅局、残联按职责分工负责，各师市负责）</w:t>
      </w:r>
    </w:p>
    <w:p w14:paraId="5B970108">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11.促进社会积极参与。</w:t>
      </w:r>
      <w:r>
        <w:rPr>
          <w:rFonts w:hint="default" w:ascii="Times New Roman" w:hAnsi="Times New Roman" w:eastAsia="仿宋_GB2312" w:cs="Times New Roman"/>
          <w:bCs/>
          <w:sz w:val="32"/>
          <w:szCs w:val="32"/>
        </w:rPr>
        <w:t>强化社会互助共济功能，构建基层党组织领导，基层群众性自治组织统筹协调，社会组织、社会工作者、志愿者等力量参与的养老服务格局。大力培育养老服务社会组织、基层老年人组织，鼓励基层老年协会通过承接政府购买服务等方式，参与助老志愿服务，探索建立养老志愿服务时间储蓄管理制度。完善助老志愿政策措施，引导助老志愿服务活动与老年人生活服务、健康服务、精神慰藉等多元需求有效对接。鼓励企业、社会组织、个人等社会力量依法通过设立慈善信托、社会捐赠等方式支持开展养老服务。建立老年教育协同发展机制，聚焦养老服务、主动健康、智慧生活等主题，依托开放大学、老年大学等推动老年教育向社区（连队）延伸，持续扩大老年教育覆盖面。广泛开展兵团特色“银龄行动”，支持各师市发展“银龄行动”示范项目，不断提升“老兵讲兵团”“老兵爱兵团”“老兵为兵团”主题活动质效。畅通老年人获得法律援助、公证服务绿色通道，探索建立老年人意定监护实施机制。</w:t>
      </w:r>
      <w:r>
        <w:rPr>
          <w:rFonts w:hint="default" w:ascii="Times New Roman" w:hAnsi="Times New Roman" w:eastAsia="仿宋_GB2312" w:cs="Times New Roman"/>
          <w:b/>
          <w:bCs/>
          <w:sz w:val="32"/>
          <w:szCs w:val="32"/>
        </w:rPr>
        <w:t>（兵团老龄工作委员会各成员单位按职责分工负责，各师市负责）</w:t>
      </w:r>
    </w:p>
    <w:p w14:paraId="7721AFF3">
      <w:pPr>
        <w:pStyle w:val="2"/>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三、强化要素保障</w:t>
      </w:r>
    </w:p>
    <w:p w14:paraId="4F016F1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（一）科学规划养老服务设施布局。</w:t>
      </w:r>
      <w:r>
        <w:rPr>
          <w:rFonts w:hint="default" w:ascii="Times New Roman" w:hAnsi="Times New Roman" w:eastAsia="仿宋_GB2312" w:cs="Times New Roman"/>
          <w:bCs/>
          <w:sz w:val="32"/>
          <w:szCs w:val="32"/>
        </w:rPr>
        <w:t>师市、团镇要优化资源配置，明确城镇社区生活圈15分钟层级相关养老服务设施配建要求、服务内容、规模指标和选址要求，逐步提高养老服务设施用地比例或增加养老服务设施空间安排。支持闲置公共服务资源改建养老服务设施，</w:t>
      </w:r>
      <w:r>
        <w:rPr>
          <w:rFonts w:hint="default" w:ascii="Times New Roman" w:hAnsi="Times New Roman" w:eastAsia="仿宋_GB2312" w:cs="Times New Roman"/>
          <w:bCs/>
          <w:sz w:val="32"/>
          <w:szCs w:val="32"/>
          <w:lang w:eastAsia="zh-CN"/>
        </w:rPr>
        <w:t>严格执行</w:t>
      </w:r>
      <w:r>
        <w:rPr>
          <w:rFonts w:hint="default" w:ascii="Times New Roman" w:hAnsi="Times New Roman" w:eastAsia="仿宋_GB2312" w:cs="Times New Roman"/>
          <w:bCs/>
          <w:sz w:val="32"/>
          <w:szCs w:val="32"/>
        </w:rPr>
        <w:t>养老服务设施建筑消防、防震等标准，依法依规解决规划调整、土地房产使用性质变更、消防改造和消防审验手续办理等问题。统筹现有资源，因地制宜建设综合老年人活动中心，拓展为老服务功能。</w:t>
      </w:r>
      <w:r>
        <w:rPr>
          <w:rFonts w:hint="default" w:ascii="Times New Roman" w:hAnsi="Times New Roman" w:eastAsia="仿宋_GB2312" w:cs="Times New Roman"/>
          <w:b/>
          <w:bCs/>
          <w:sz w:val="32"/>
          <w:szCs w:val="32"/>
        </w:rPr>
        <w:t>（兵团民政局、自然资源局、住房城乡建设局按职责分工负责，各师市负责）</w:t>
      </w:r>
    </w:p>
    <w:p w14:paraId="22C56FB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（二）完善财政支持相关政策。</w:t>
      </w:r>
      <w:r>
        <w:rPr>
          <w:rFonts w:hint="default" w:ascii="Times New Roman" w:hAnsi="Times New Roman" w:eastAsia="仿宋_GB2312" w:cs="Times New Roman"/>
          <w:bCs/>
          <w:sz w:val="32"/>
          <w:szCs w:val="32"/>
        </w:rPr>
        <w:t>加强基本养老服务经费保障，加大对养老服务设施建设、人员培训、服务补贴等的支持力度。各级安排的社会福利事业彩票公益金用于养老服务的占比不低于</w:t>
      </w:r>
      <w:r>
        <w:rPr>
          <w:rFonts w:hint="default" w:ascii="Times New Roman" w:hAnsi="Times New Roman" w:eastAsia="仿宋_GB2312" w:cs="Times New Roman"/>
          <w:bCs/>
          <w:sz w:val="32"/>
          <w:szCs w:val="32"/>
          <w:lang w:val="en-US" w:eastAsia="zh-CN"/>
        </w:rPr>
        <w:t>60</w:t>
      </w:r>
      <w:r>
        <w:rPr>
          <w:rFonts w:hint="default" w:ascii="Times New Roman" w:hAnsi="Times New Roman" w:eastAsia="仿宋_GB2312" w:cs="Times New Roman"/>
          <w:bCs/>
          <w:sz w:val="32"/>
          <w:szCs w:val="32"/>
        </w:rPr>
        <w:t>%。加强老年人社会救助、社会福利和社会保障政策衔接。加快建立长期护理保险制度，完善失能老年人居家照护服务制度，合理确定经济困难失能老年人护理补贴覆盖范围和补贴标准，做好长期护理保险与经济困难的高龄、失能老年人护理补贴等政策的衔接。指导各师市因地制宜开展养老服务体系提升项目</w:t>
      </w:r>
      <w:r>
        <w:rPr>
          <w:rFonts w:hint="default" w:ascii="Times New Roman" w:hAnsi="Times New Roman" w:eastAsia="仿宋_GB2312" w:cs="Times New Roman"/>
          <w:bCs/>
          <w:sz w:val="32"/>
          <w:szCs w:val="32"/>
          <w:lang w:eastAsia="zh-CN"/>
        </w:rPr>
        <w:t>和</w:t>
      </w:r>
      <w:r>
        <w:rPr>
          <w:rFonts w:hint="default" w:ascii="Times New Roman" w:hAnsi="Times New Roman" w:eastAsia="仿宋_GB2312" w:cs="Times New Roman"/>
          <w:bCs/>
          <w:sz w:val="32"/>
          <w:szCs w:val="32"/>
        </w:rPr>
        <w:t>创新试点。对符合条件的养老服务机构，落实税费优惠、水电气热执行居民生活类价格等政策，水电气热暂不具备单独计量条件的，可采取定量、定比等方式计费。鼓励对社区养老服务机构提供</w:t>
      </w:r>
      <w:r>
        <w:rPr>
          <w:rFonts w:hint="default" w:ascii="Times New Roman" w:hAnsi="Times New Roman" w:eastAsia="仿宋_GB2312" w:cs="Times New Roman"/>
          <w:bCs/>
          <w:sz w:val="32"/>
          <w:szCs w:val="32"/>
          <w:lang w:eastAsia="zh-CN"/>
        </w:rPr>
        <w:t>运营补贴</w:t>
      </w:r>
      <w:r>
        <w:rPr>
          <w:rFonts w:hint="default" w:ascii="Times New Roman" w:hAnsi="Times New Roman" w:eastAsia="仿宋_GB2312" w:cs="Times New Roman"/>
          <w:bCs/>
          <w:sz w:val="32"/>
          <w:szCs w:val="32"/>
        </w:rPr>
        <w:t>减免场地租金等支持。</w:t>
      </w:r>
      <w:r>
        <w:rPr>
          <w:rFonts w:hint="default" w:ascii="Times New Roman" w:hAnsi="Times New Roman" w:eastAsia="仿宋_GB2312" w:cs="Times New Roman"/>
          <w:b/>
          <w:bCs/>
          <w:sz w:val="32"/>
          <w:szCs w:val="32"/>
        </w:rPr>
        <w:t>（兵团发展改革委、民政局、财政局、医保局，新疆税务局按职责分工负责，各师市负责）</w:t>
      </w:r>
    </w:p>
    <w:p w14:paraId="4C611FFC">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（三）加强人才队伍建设。</w:t>
      </w:r>
      <w:r>
        <w:rPr>
          <w:rFonts w:hint="default" w:ascii="Times New Roman" w:hAnsi="Times New Roman" w:eastAsia="仿宋_GB2312" w:cs="Times New Roman"/>
          <w:bCs/>
          <w:sz w:val="32"/>
          <w:szCs w:val="32"/>
        </w:rPr>
        <w:t>建立健全技能人才与专业技术人才职业转换通道，构建与技能等级相衔接的技能岗位评聘制度。引导和支持职业学校设置老年人服务与管理、智慧健康养老服务、社区康复等相关专业。加大医养照护与管理等职业本科层次人才培养力度。有条件的师市可探索在职业院校开展养老服务类专业公费培养试点。引导养老服务机构完善符合技能人才特点的薪酬分配制度，向一线工作人员倾斜，强化技能价值激励导向。加强养老护理员、老年人能力评估师等职业技能培训，加强和规范养老服务技能人才职业技能等级认定、评价管理，强化职业道德建设，依法完善从业禁止制度。</w:t>
      </w:r>
      <w:r>
        <w:rPr>
          <w:rFonts w:hint="default" w:ascii="Times New Roman" w:hAnsi="Times New Roman" w:eastAsia="仿宋_GB2312" w:cs="Times New Roman"/>
          <w:b/>
          <w:bCs/>
          <w:sz w:val="32"/>
          <w:szCs w:val="32"/>
        </w:rPr>
        <w:t>（兵团教育局、民政局、人力资源社会保障局按职责分工负责，各师市负责）</w:t>
      </w:r>
    </w:p>
    <w:p w14:paraId="4914FAB3">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（四）大力发展养老金融。</w:t>
      </w:r>
      <w:r>
        <w:rPr>
          <w:rFonts w:hint="default" w:ascii="Times New Roman" w:hAnsi="Times New Roman" w:eastAsia="仿宋_GB2312" w:cs="Times New Roman"/>
          <w:bCs/>
          <w:sz w:val="32"/>
          <w:szCs w:val="32"/>
        </w:rPr>
        <w:t>支持将专项债券用作项目资金的养老基础设施建设项目，激励引导银行业金融机构创新信贷产品和融资服务模式，积极满足养老机构信贷融资需求。加大政府性融资担保、再担保机构对养老服务小微企业贷款担保支持力度。积极探索支持符合条件的养老项目发行基础设施领域不动产投资信托基金。拓宽养老服务信托业务，督促提升保险公司专业能力，探索开发适合居家护理、社区护理和机构护理等多种方式，满足护理、医疗和康养等综合性、多元化需求的商业保险产品。</w:t>
      </w:r>
      <w:r>
        <w:rPr>
          <w:rFonts w:hint="default" w:ascii="Times New Roman" w:hAnsi="Times New Roman" w:eastAsia="仿宋_GB2312" w:cs="Times New Roman"/>
          <w:b/>
          <w:bCs/>
          <w:sz w:val="32"/>
          <w:szCs w:val="32"/>
        </w:rPr>
        <w:t>（兵团发展改革委、财政局、地方金融管理局，人民银行新疆分行、国家金融监管总局新疆监管局按职责分工负责，各师市负责）</w:t>
      </w:r>
    </w:p>
    <w:p w14:paraId="1C81645E">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eastAsia="楷体_GB2312" w:cs="Times New Roman"/>
          <w:b/>
          <w:sz w:val="32"/>
          <w:szCs w:val="32"/>
        </w:rPr>
        <w:t>（五）加快养老科技和信息化发展应用。</w:t>
      </w:r>
      <w:r>
        <w:rPr>
          <w:rFonts w:hint="default" w:ascii="Times New Roman" w:hAnsi="Times New Roman" w:eastAsia="仿宋_GB2312" w:cs="Times New Roman"/>
          <w:bCs/>
          <w:sz w:val="32"/>
          <w:szCs w:val="32"/>
        </w:rPr>
        <w:t>探索推动人形机器人、脑机接口、人工智能等技术产品应用，跟进全国智慧健康养老应用示范，推广智能化家居和智慧健康产品，探索开展居家养老安全风险预警和防范服务。依托兵团智慧养老综合信息平台，打通部门间数据接口，推进养老服务相关信息数据对接，促进养老服务供需匹配。支持发展社区“虚拟养老院”，为居家老年人提供线上线下养老服务。</w:t>
      </w:r>
      <w:r>
        <w:rPr>
          <w:rFonts w:hint="default" w:ascii="Times New Roman" w:hAnsi="Times New Roman" w:eastAsia="仿宋_GB2312" w:cs="Times New Roman"/>
          <w:bCs/>
          <w:sz w:val="32"/>
          <w:szCs w:val="32"/>
          <w:lang w:eastAsia="zh-CN"/>
        </w:rPr>
        <w:t>推广运用</w:t>
      </w:r>
      <w:r>
        <w:rPr>
          <w:rFonts w:hint="default" w:ascii="Times New Roman" w:hAnsi="Times New Roman" w:eastAsia="仿宋_GB2312" w:cs="Times New Roman"/>
          <w:bCs/>
          <w:sz w:val="32"/>
          <w:szCs w:val="32"/>
        </w:rPr>
        <w:t>“养老服务电子地图”等程序，便利老年人获得养老服务。统筹开展兵团全国人口普查，及时提供普查年份老年人口数据和情况分析。</w:t>
      </w:r>
      <w:r>
        <w:rPr>
          <w:rFonts w:hint="default" w:ascii="Times New Roman" w:hAnsi="Times New Roman" w:eastAsia="仿宋_GB2312" w:cs="Times New Roman"/>
          <w:b/>
          <w:bCs/>
          <w:sz w:val="32"/>
          <w:szCs w:val="32"/>
        </w:rPr>
        <w:t>（兵团工业信息化局、民政局、统计局、数据局按职责分工负责，各师市负责）</w:t>
      </w:r>
    </w:p>
    <w:p w14:paraId="154C28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四、加强组织领导</w:t>
      </w:r>
    </w:p>
    <w:p w14:paraId="16F1DF4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各级切实加强党对养老服务领域改革的全面领导，坚持党委领导、政府主导、社会参与、全民行动相结合，统筹推进养老服务改革发展，将养老服务体系建设纳入当地经济社会发展规划和重要议事日程。各级民政部门要加强统筹协调，会同有关部门定期研究并推动解决养老服务改革发展中的重大问题，完善养老服务改革发展相关政策，健全督促评价制度。团镇（街道）党委、社区（连队）党组织要将养老服务作为联系群众的重要内容，引导各类组织共同做好养老服务工作。社区（连队）“两委”要把服务老年人作为重要职责，掌握辖区内老年人情况和服务需求，协助开展养老服务。各级各有关部门要结合实际抓好本方案贯彻落实，做好政策宣传解读，畅通群众意见建议反馈渠道，科学引导各方支持参与养老服务改革发展。重大事项及时按程序向兵团党委、兵团请示汇报。</w:t>
      </w:r>
    </w:p>
    <w:p w14:paraId="31C44B47">
      <w:pPr>
        <w:pStyle w:val="3"/>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1A7A4F72">
      <w:pPr>
        <w:pStyle w:val="3"/>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223CF524">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lang w:val="en-US" w:eastAsia="zh-CN"/>
        </w:rPr>
      </w:pPr>
    </w:p>
    <w:p w14:paraId="6604BBD6">
      <w:pPr>
        <w:pStyle w:val="3"/>
        <w:rPr>
          <w:rFonts w:hint="default"/>
          <w:sz w:val="32"/>
          <w:szCs w:val="32"/>
          <w:lang w:val="en-US" w:eastAsia="zh-CN"/>
        </w:rPr>
      </w:pPr>
    </w:p>
    <w:p w14:paraId="0AF0E6F2">
      <w:pPr>
        <w:pStyle w:val="3"/>
        <w:rPr>
          <w:rFonts w:hint="default"/>
          <w:sz w:val="32"/>
          <w:szCs w:val="32"/>
          <w:lang w:val="en-US" w:eastAsia="zh-CN"/>
        </w:rPr>
      </w:pPr>
    </w:p>
    <w:p w14:paraId="5395000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_GB2312" w:cs="Times New Roman"/>
          <w:sz w:val="32"/>
          <w:szCs w:val="32"/>
          <w:u w:val="none"/>
          <w:lang w:val="en-US" w:eastAsia="zh-CN"/>
        </w:rPr>
      </w:pPr>
    </w:p>
    <w:p w14:paraId="14FC79D9"/>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E64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1048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51048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12B99"/>
    <w:rsid w:val="1E7412B9"/>
    <w:rsid w:val="34612B99"/>
    <w:rsid w:val="4F707674"/>
    <w:rsid w:val="7F32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Lines="100" w:afterLines="100"/>
      <w:jc w:val="center"/>
      <w:outlineLvl w:val="1"/>
    </w:pPr>
    <w:rPr>
      <w:rFonts w:ascii="Arial" w:hAnsi="Arial" w:eastAsia="黑体"/>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5910</Words>
  <Characters>5936</Characters>
  <Lines>0</Lines>
  <Paragraphs>0</Paragraphs>
  <TotalTime>0</TotalTime>
  <ScaleCrop>false</ScaleCrop>
  <LinksUpToDate>false</LinksUpToDate>
  <CharactersWithSpaces>5936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2025-10-22T10:45:00Z</dcterms:created>
  <dc:creator>Administrator</dc:creator>
  <cp:lastModifiedBy>八局西北禹斌</cp:lastModifiedBy>
  <dcterms:modified xsi:type="dcterms:W3CDTF">2026-03-09T08:55:13Z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0974235692F44D6FB91C50E62FD2A11D</vt:lpwstr>
  </property>
  <property fmtid="{D5CDD505-2E9C-101B-9397-08002B2CF9AE}" pid="4" name="KSOTemplateDocerSaveRecord">
    <vt:lpwstr>eyJoZGlkIjoiZGQ2MTc2NzY3OTgyMjYzNWRkNTAzM2Y2OWFmZTdiZjAiLCJ1c2VySWQiOiI0NTQ1ODc2NDgifQ==</vt:lpwstr>
  </property>
</Properties>
</file>